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270</w:t>
      </w:r>
    </w:p>
    <w:p>
      <w:r>
        <w:t>Bundesgericht (BGE), 1990-02-06, DE</w:t>
      </w:r>
    </w:p>
    <w:p>
      <w:r>
        <w:rPr>
          <w:b/>
        </w:rPr>
        <w:t xml:space="preserve">Quelle: </w:t>
      </w:r>
      <w:r>
        <w:t>https://mcp.opencaselaw.ch/entscheid/bge_116 IV 270</w:t>
      </w:r>
    </w:p>
    <w:p>
      <w:r>
        <w:t>FR: ATF 116 IV 270</w:t>
      </w:r>
    </w:p>
    <w:p>
      <w:r>
        <w:t>IT: DTF 116 IV 270</w:t>
      </w:r>
    </w:p>
    <w:p>
      <w:pPr>
        <w:pStyle w:val="Heading2"/>
      </w:pPr>
      <w:r>
        <w:t>Regeste</w:t>
      </w:r>
    </w:p>
    <w:p>
      <w:r>
        <w:t>Regeste Art. 272 Abs. 1 und Art. 5 BStP, Art. 79 Abs. 2 und Art. 82 VStrR; Rechtzeitigkeit der Beschwerdeanmeldung. In Bundesverwaltungsstrafsachen beginnt die Frist zur Anmeldung der eidgenössischen Nichtigkeitsbeschwerde erst mit der schriftlichen Eröffnung des angefochtenen Entscheids zu laufen. Art. 79 Abs. 2 VStrR geht kraft Art. 82 VStrR abweichendem kantonalen Prozessrecht vor, ebenso als lex posterior abweichendem älteren Bundesrecht, insbesondere Art. 272 Abs. 1 BStP, soweit diese Bestimmung hinsichtlich der Eröffnung des angefochtenen Entscheids das kantonale Recht für massgebend erklärt.</w:t>
      </w:r>
    </w:p>
    <w:p>
      <w:pPr>
        <w:pStyle w:val="Heading2"/>
      </w:pPr>
      <w:r>
        <w:t>Erwägungen</w:t>
      </w:r>
    </w:p>
    <w:p>
      <w:r>
        <w:rPr>
          <w:b/>
        </w:rPr>
        <w:t>E. 2</w:t>
      </w:r>
    </w:p>
    <w:p>
      <w:r>
        <w:t>a) Gemäss Art. 272 Abs. 1 BStP ist die eidgenössische Nichtigkeitsbeschwerde in Strafsachen innert 10 Tagen seit der nach dem kantonalen Recht massgebenden Eröffnung des angefochtenen Entscheids bei der Behörde, welche ihn erlassen hat, durch Einreichung einer schriftlichen Erklärung anzumelden. Die nach dem Recht des Kantons Basel-Landschaft im Sinne dieser Bestimmung massgebende Eröffnung ist gemäss § 159 Abs. 5 i.V.m. § 141 StPO /BL jene anlässlich der mündlichen Verhandlung, wenn die beschwerdeführende Partei, wie hier, anwesend BGE 116 IV 270 S. 272 bzw. vertreten war. Es stellt sich somit die Frage, ob die Beschwerdeführerin die Nichtigkeitsbeschwerde innert 10 Tagen seit der mündlichen Eröffnung des Entscheids hätte anmelden müssen; diesfalls wäre ihre 10 Tage nach Eröffnung des schriftlichen Entscheids erfolgte Beschwerdeanmeldung verspätet. b) Gemäss Art. 272 Abs. 5 BStP beginnen für den Bundesanwalt die Fristen am Tage, an dem der angefochtene Entscheid der zuständigen Bundesbehörde in vollständiger Ausfertigung zugekommen ist. Nach dem klaren Wortlaut des Gesetzes gilt dieser spätere Fristbeginn nur für den Bundesanwalt selbst, nicht aber für eine andere Bundesbehörde wie etwa die Zollverwaltung. c) Zu Recht weist die Beschwerdeführerin jedoch darauf hin, dass gemäss Art. 79 Abs. 2 VStrR in Bundesverwaltungsstrafsachen das von den kantonalen Gerichten gefällte Urteil mit den wesentlichen Entscheidungsgründen den Parteien schriftlich zu eröffnen ist unter Angabe der Fristen für die Rechtsmittel und der Behörden, an die es weitergezogen werden kann. Aus dieser Bestimmung folgt, dass keine Rechtsmittelfrist zu laufen beginnt, bevor das Urteil in der gesetzlich vorgeschriebenen Form eröffnet worden ist. Art. 79 Abs. 2 VStrR geht kraft Art. 82 VStrR abweichendem kantonalen Prozessrecht vor, ebenso als lex posterior abweichendem älteren Bundesrecht, insbesondere Art. 272 Abs. 1 BStP , soweit diese Bestimmung hinsichtlich der Eröffnung des angefochtenen Entscheids das kantonale Recht für massgebend erklärt; Art. 79 Abs. 2 VStrR vereinheitlicht also für kantonale Urteile in Bundesverwaltungsstrafsachen die Form der Eröffnung (vgl. hiezu SCHWOB, SJK 1290, S. 8). Auf die Nichtigkeitsbeschwerde ist somit unter dem Gesichtspunkt der Rechtzeitigkeit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